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12" w:rsidRPr="00A3367C" w:rsidRDefault="00497D12" w:rsidP="00497D12">
      <w:pPr>
        <w:jc w:val="center"/>
        <w:rPr>
          <w:b/>
        </w:rPr>
      </w:pPr>
      <w:bookmarkStart w:id="0" w:name="_GoBack"/>
      <w:bookmarkEnd w:id="0"/>
      <w:r w:rsidRPr="00A3367C">
        <w:rPr>
          <w:b/>
        </w:rPr>
        <w:t>BUDGET JUSTIFICATION</w:t>
      </w:r>
    </w:p>
    <w:p w:rsidR="00497D12" w:rsidRPr="00D60613" w:rsidRDefault="00497D12" w:rsidP="00D60613">
      <w:r w:rsidRPr="00D60613">
        <w:t xml:space="preserve">Each sponsor has specific guidelines on what they want to see included on the budget justifications.  For instance, the Department of Defense mandates a detailed budget justifying </w:t>
      </w:r>
      <w:r w:rsidRPr="00D60613">
        <w:rPr>
          <w:u w:val="single"/>
        </w:rPr>
        <w:t>each year</w:t>
      </w:r>
      <w:r w:rsidRPr="00D60613">
        <w:t xml:space="preserve"> of the proposed budget.</w:t>
      </w:r>
    </w:p>
    <w:p w:rsidR="00D60613" w:rsidRPr="00D60613" w:rsidRDefault="00D60613" w:rsidP="00D60613">
      <w:r w:rsidRPr="00D60613">
        <w:t>As NIH is the sponsor under whom we receive most of our awards, their instructions follow:</w:t>
      </w:r>
    </w:p>
    <w:p w:rsidR="00D60613" w:rsidRPr="00D60613" w:rsidRDefault="00D60613" w:rsidP="00D60613">
      <w:pPr>
        <w:rPr>
          <w:b/>
          <w:u w:val="single"/>
        </w:rPr>
      </w:pPr>
      <w:r w:rsidRPr="00D60613">
        <w:rPr>
          <w:b/>
          <w:u w:val="single"/>
        </w:rPr>
        <w:t>Detailed Budget Justification</w:t>
      </w:r>
    </w:p>
    <w:p w:rsidR="00D60613" w:rsidRDefault="00D60613" w:rsidP="00D60613">
      <w:pPr>
        <w:autoSpaceDE w:val="0"/>
        <w:autoSpaceDN w:val="0"/>
        <w:adjustRightInd w:val="0"/>
        <w:spacing w:after="0" w:line="240" w:lineRule="auto"/>
        <w:rPr>
          <w:rFonts w:cs="Arial"/>
        </w:rPr>
      </w:pPr>
      <w:r w:rsidRPr="00D60613">
        <w:rPr>
          <w:rFonts w:cs="Arial"/>
        </w:rPr>
        <w:t>All applications must have a detailed budget narrative explaining and justifying the federal and the nonfederal expenditures by object class</w:t>
      </w:r>
      <w:r>
        <w:rPr>
          <w:rFonts w:cs="Arial"/>
        </w:rPr>
        <w:t xml:space="preserve"> </w:t>
      </w:r>
      <w:r w:rsidRPr="00D60613">
        <w:rPr>
          <w:rFonts w:cs="Arial"/>
        </w:rPr>
        <w:t>category as listed on SF-424A, Section B (Budget Category). For clarification and</w:t>
      </w:r>
      <w:r>
        <w:rPr>
          <w:rFonts w:cs="Arial"/>
        </w:rPr>
        <w:t xml:space="preserve"> </w:t>
      </w:r>
      <w:r w:rsidRPr="00D60613">
        <w:rPr>
          <w:rFonts w:cs="Arial"/>
        </w:rPr>
        <w:t>simplicity, it is best to discuss each expense by object class in the order that they appear</w:t>
      </w:r>
      <w:r>
        <w:rPr>
          <w:rFonts w:cs="Arial"/>
        </w:rPr>
        <w:t xml:space="preserve"> </w:t>
      </w:r>
      <w:r w:rsidRPr="00D60613">
        <w:rPr>
          <w:rFonts w:cs="Arial"/>
        </w:rPr>
        <w:t>on the SF</w:t>
      </w:r>
      <w:r w:rsidR="003D2ECF">
        <w:rPr>
          <w:rFonts w:cs="Arial"/>
        </w:rPr>
        <w:t>-</w:t>
      </w:r>
      <w:r w:rsidRPr="00D60613">
        <w:rPr>
          <w:rFonts w:cs="Arial"/>
        </w:rPr>
        <w:t xml:space="preserve">424A. </w:t>
      </w:r>
    </w:p>
    <w:p w:rsidR="00D60613" w:rsidRDefault="00D60613" w:rsidP="00D60613">
      <w:pPr>
        <w:autoSpaceDE w:val="0"/>
        <w:autoSpaceDN w:val="0"/>
        <w:adjustRightInd w:val="0"/>
        <w:spacing w:after="0" w:line="240" w:lineRule="auto"/>
        <w:rPr>
          <w:rFonts w:cs="Arial"/>
        </w:rPr>
      </w:pPr>
    </w:p>
    <w:p w:rsidR="00D60613" w:rsidRPr="00D60613" w:rsidRDefault="00D60613" w:rsidP="00D60613">
      <w:pPr>
        <w:autoSpaceDE w:val="0"/>
        <w:autoSpaceDN w:val="0"/>
        <w:adjustRightInd w:val="0"/>
        <w:spacing w:after="0" w:line="240" w:lineRule="auto"/>
        <w:rPr>
          <w:rFonts w:cs="Arial"/>
        </w:rPr>
      </w:pPr>
      <w:r w:rsidRPr="00D60613">
        <w:rPr>
          <w:rFonts w:cs="Arial"/>
        </w:rPr>
        <w:t>Include the dollar amounts in the discussion and how the dollar amounts</w:t>
      </w:r>
      <w:r>
        <w:rPr>
          <w:rFonts w:cs="Arial"/>
        </w:rPr>
        <w:t xml:space="preserve"> </w:t>
      </w:r>
      <w:r w:rsidRPr="00D60613">
        <w:rPr>
          <w:rFonts w:cs="Arial"/>
        </w:rPr>
        <w:t>were derived. Include detailed descriptions of all cost justifications (see below for more</w:t>
      </w:r>
      <w:r>
        <w:rPr>
          <w:rFonts w:cs="Arial"/>
        </w:rPr>
        <w:t xml:space="preserve"> </w:t>
      </w:r>
      <w:r w:rsidRPr="00D60613">
        <w:rPr>
          <w:rFonts w:cs="Arial"/>
        </w:rPr>
        <w:t>detail). Additionally, provide any cost sharing or matching cost details. Separate budgets</w:t>
      </w:r>
      <w:r>
        <w:rPr>
          <w:rFonts w:cs="Arial"/>
        </w:rPr>
        <w:t xml:space="preserve"> </w:t>
      </w:r>
      <w:r w:rsidRPr="00D60613">
        <w:rPr>
          <w:rFonts w:cs="Arial"/>
        </w:rPr>
        <w:t>within the single proposal must be provided if more than one funding action is</w:t>
      </w:r>
      <w:r>
        <w:rPr>
          <w:rFonts w:cs="Arial"/>
        </w:rPr>
        <w:t xml:space="preserve"> </w:t>
      </w:r>
      <w:r w:rsidRPr="00D60613">
        <w:rPr>
          <w:rFonts w:cs="Arial"/>
        </w:rPr>
        <w:t>anticipated (e.g., if funds are to be allocated to more than one institution or agency</w:t>
      </w:r>
    </w:p>
    <w:p w:rsidR="00D60613" w:rsidRDefault="00D60613" w:rsidP="00D60613">
      <w:pPr>
        <w:autoSpaceDE w:val="0"/>
        <w:autoSpaceDN w:val="0"/>
        <w:adjustRightInd w:val="0"/>
        <w:spacing w:after="0" w:line="240" w:lineRule="auto"/>
        <w:rPr>
          <w:rFonts w:cs="Arial"/>
        </w:rPr>
      </w:pPr>
      <w:r w:rsidRPr="00D60613">
        <w:rPr>
          <w:rFonts w:cs="Arial"/>
        </w:rPr>
        <w:t>through subcontracts).</w:t>
      </w:r>
    </w:p>
    <w:p w:rsidR="00D60613" w:rsidRPr="00D60613" w:rsidRDefault="00D60613" w:rsidP="00D60613">
      <w:pPr>
        <w:autoSpaceDE w:val="0"/>
        <w:autoSpaceDN w:val="0"/>
        <w:adjustRightInd w:val="0"/>
        <w:spacing w:after="0" w:line="240" w:lineRule="auto"/>
        <w:rPr>
          <w:rFonts w:cs="Arial"/>
        </w:rPr>
      </w:pPr>
    </w:p>
    <w:p w:rsidR="00D60613" w:rsidRDefault="00D60613" w:rsidP="00D60613">
      <w:pPr>
        <w:autoSpaceDE w:val="0"/>
        <w:autoSpaceDN w:val="0"/>
        <w:adjustRightInd w:val="0"/>
        <w:spacing w:after="0" w:line="240" w:lineRule="auto"/>
        <w:rPr>
          <w:rFonts w:cs="Arial"/>
        </w:rPr>
      </w:pPr>
      <w:r w:rsidRPr="00D60613">
        <w:rPr>
          <w:rFonts w:cs="Arial"/>
        </w:rPr>
        <w:t>The budget narrative submitted with the application must match the dollar amounts on all</w:t>
      </w:r>
      <w:r>
        <w:rPr>
          <w:rFonts w:cs="Arial"/>
        </w:rPr>
        <w:t xml:space="preserve"> </w:t>
      </w:r>
      <w:r w:rsidRPr="00D60613">
        <w:rPr>
          <w:rFonts w:cs="Arial"/>
        </w:rPr>
        <w:t>required forms. Please explain each calculation and provide a narrative that supports</w:t>
      </w:r>
      <w:r>
        <w:rPr>
          <w:rFonts w:cs="Arial"/>
        </w:rPr>
        <w:t xml:space="preserve"> </w:t>
      </w:r>
      <w:r w:rsidRPr="00D60613">
        <w:rPr>
          <w:rFonts w:cs="Arial"/>
        </w:rPr>
        <w:t>each budget category. (In other words, Block 15 on the SF-424 must equal total costs</w:t>
      </w:r>
      <w:r>
        <w:rPr>
          <w:rFonts w:cs="Arial"/>
        </w:rPr>
        <w:t xml:space="preserve"> </w:t>
      </w:r>
      <w:r w:rsidRPr="00D60613">
        <w:rPr>
          <w:rFonts w:cs="Arial"/>
        </w:rPr>
        <w:t>identified on the Budget Information SF-424A form which must match the budget</w:t>
      </w:r>
      <w:r>
        <w:rPr>
          <w:rFonts w:cs="Arial"/>
        </w:rPr>
        <w:t xml:space="preserve"> </w:t>
      </w:r>
      <w:r w:rsidRPr="00D60613">
        <w:rPr>
          <w:rFonts w:cs="Arial"/>
        </w:rPr>
        <w:t>narrative).</w:t>
      </w:r>
    </w:p>
    <w:p w:rsidR="00D60613" w:rsidRPr="00D60613" w:rsidRDefault="00D60613" w:rsidP="00D60613">
      <w:pPr>
        <w:autoSpaceDE w:val="0"/>
        <w:autoSpaceDN w:val="0"/>
        <w:adjustRightInd w:val="0"/>
        <w:spacing w:after="0" w:line="240" w:lineRule="auto"/>
        <w:rPr>
          <w:rFonts w:cs="Arial"/>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Personnel:</w:t>
      </w:r>
    </w:p>
    <w:p w:rsidR="00D60613" w:rsidRPr="00D60613" w:rsidRDefault="00D60613" w:rsidP="00D60613">
      <w:pPr>
        <w:autoSpaceDE w:val="0"/>
        <w:autoSpaceDN w:val="0"/>
        <w:adjustRightInd w:val="0"/>
        <w:spacing w:after="0" w:line="240" w:lineRule="auto"/>
        <w:rPr>
          <w:rFonts w:cs="Arial"/>
        </w:rPr>
      </w:pPr>
      <w:r w:rsidRPr="00D60613">
        <w:rPr>
          <w:rFonts w:cs="Arial"/>
        </w:rPr>
        <w:t>a. Include salary and wages (fringe benefits are listed separately).</w:t>
      </w:r>
    </w:p>
    <w:p w:rsidR="00D60613" w:rsidRPr="00D60613" w:rsidRDefault="00D60613" w:rsidP="00D60613">
      <w:pPr>
        <w:autoSpaceDE w:val="0"/>
        <w:autoSpaceDN w:val="0"/>
        <w:adjustRightInd w:val="0"/>
        <w:spacing w:after="0" w:line="240" w:lineRule="auto"/>
        <w:rPr>
          <w:rFonts w:cs="Arial"/>
        </w:rPr>
      </w:pPr>
      <w:r w:rsidRPr="00D60613">
        <w:rPr>
          <w:rFonts w:cs="Arial"/>
        </w:rPr>
        <w:t>b. Provide breakdown of personnel by classification (i.e., job title).</w:t>
      </w:r>
    </w:p>
    <w:p w:rsidR="00D60613" w:rsidRPr="00D60613" w:rsidRDefault="00D60613" w:rsidP="00D60613">
      <w:pPr>
        <w:autoSpaceDE w:val="0"/>
        <w:autoSpaceDN w:val="0"/>
        <w:adjustRightInd w:val="0"/>
        <w:spacing w:after="0" w:line="240" w:lineRule="auto"/>
        <w:rPr>
          <w:rFonts w:cs="Arial"/>
        </w:rPr>
      </w:pPr>
      <w:r w:rsidRPr="00D60613">
        <w:rPr>
          <w:rFonts w:cs="Arial"/>
        </w:rPr>
        <w:t>c. Identify key investigators (if applicable).</w:t>
      </w:r>
    </w:p>
    <w:p w:rsidR="00D60613" w:rsidRPr="00D60613" w:rsidRDefault="00D60613" w:rsidP="00D60613">
      <w:pPr>
        <w:autoSpaceDE w:val="0"/>
        <w:autoSpaceDN w:val="0"/>
        <w:adjustRightInd w:val="0"/>
        <w:spacing w:after="0" w:line="240" w:lineRule="auto"/>
        <w:rPr>
          <w:rFonts w:cs="Arial"/>
        </w:rPr>
      </w:pPr>
      <w:r w:rsidRPr="00D60613">
        <w:rPr>
          <w:rFonts w:cs="Arial"/>
        </w:rPr>
        <w:t>d. State time commitments in hours or percent of time for each person or position</w:t>
      </w:r>
    </w:p>
    <w:p w:rsidR="00D60613" w:rsidRPr="00D60613" w:rsidRDefault="00D60613" w:rsidP="00D60613">
      <w:pPr>
        <w:autoSpaceDE w:val="0"/>
        <w:autoSpaceDN w:val="0"/>
        <w:adjustRightInd w:val="0"/>
        <w:spacing w:after="0" w:line="240" w:lineRule="auto"/>
        <w:rPr>
          <w:rFonts w:cs="Arial"/>
        </w:rPr>
      </w:pPr>
      <w:r w:rsidRPr="00D60613">
        <w:rPr>
          <w:rFonts w:cs="Arial"/>
        </w:rPr>
        <w:t>e. List total charges for each person or position with calculations of costs as Federal</w:t>
      </w:r>
      <w:r w:rsidR="00A65AC1">
        <w:rPr>
          <w:rFonts w:cs="Arial"/>
        </w:rPr>
        <w:t xml:space="preserve"> </w:t>
      </w:r>
      <w:r w:rsidRPr="00D60613">
        <w:rPr>
          <w:rFonts w:cs="Arial"/>
        </w:rPr>
        <w:t>or non-federal.</w:t>
      </w:r>
    </w:p>
    <w:p w:rsidR="00D60613" w:rsidRPr="00D60613" w:rsidRDefault="00D60613" w:rsidP="00D60613">
      <w:pPr>
        <w:autoSpaceDE w:val="0"/>
        <w:autoSpaceDN w:val="0"/>
        <w:adjustRightInd w:val="0"/>
        <w:spacing w:after="0" w:line="240" w:lineRule="auto"/>
        <w:rPr>
          <w:rFonts w:cs="Arial"/>
        </w:rPr>
      </w:pPr>
      <w:r w:rsidRPr="00D60613">
        <w:rPr>
          <w:rFonts w:cs="Arial"/>
        </w:rPr>
        <w:t xml:space="preserve">f. All personnel costs must be allowable in accordance with </w:t>
      </w:r>
      <w:r w:rsidR="0051728D">
        <w:rPr>
          <w:rFonts w:cs="Arial"/>
        </w:rPr>
        <w:t>Uniform Guidance</w:t>
      </w:r>
      <w:r w:rsidRPr="00D60613">
        <w:rPr>
          <w:rFonts w:cs="Arial"/>
        </w:rPr>
        <w:t>.</w:t>
      </w:r>
    </w:p>
    <w:p w:rsidR="00D60613" w:rsidRPr="00D60613" w:rsidRDefault="00D60613" w:rsidP="00D60613">
      <w:pPr>
        <w:autoSpaceDE w:val="0"/>
        <w:autoSpaceDN w:val="0"/>
        <w:adjustRightInd w:val="0"/>
        <w:spacing w:after="0" w:line="240" w:lineRule="auto"/>
        <w:rPr>
          <w:rFonts w:cs="Arial"/>
        </w:rPr>
      </w:pPr>
      <w:r w:rsidRPr="00D60613">
        <w:rPr>
          <w:rFonts w:cs="Arial"/>
        </w:rPr>
        <w:t>g. Explain any special considerations.</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Fringe Benefits:</w:t>
      </w:r>
    </w:p>
    <w:p w:rsidR="00D60613" w:rsidRPr="00D60613" w:rsidRDefault="00D60613" w:rsidP="00D60613">
      <w:pPr>
        <w:autoSpaceDE w:val="0"/>
        <w:autoSpaceDN w:val="0"/>
        <w:adjustRightInd w:val="0"/>
        <w:spacing w:after="0" w:line="240" w:lineRule="auto"/>
        <w:rPr>
          <w:rFonts w:cs="Arial"/>
        </w:rPr>
      </w:pPr>
      <w:r w:rsidRPr="00D60613">
        <w:rPr>
          <w:rFonts w:cs="Arial"/>
        </w:rPr>
        <w:t>a. Identify separately from salaries and wages.</w:t>
      </w:r>
    </w:p>
    <w:p w:rsidR="00D60613" w:rsidRPr="00D60613" w:rsidRDefault="00D60613" w:rsidP="00D60613">
      <w:pPr>
        <w:autoSpaceDE w:val="0"/>
        <w:autoSpaceDN w:val="0"/>
        <w:adjustRightInd w:val="0"/>
        <w:spacing w:after="0" w:line="240" w:lineRule="auto"/>
        <w:rPr>
          <w:rFonts w:cs="Arial"/>
        </w:rPr>
      </w:pPr>
      <w:r w:rsidRPr="00D60613">
        <w:rPr>
          <w:rFonts w:cs="Arial"/>
        </w:rPr>
        <w:t>b. Provide description of benefits received by personnel when the fringe rate is more</w:t>
      </w:r>
      <w:r w:rsidR="00A65AC1">
        <w:rPr>
          <w:rFonts w:cs="Arial"/>
        </w:rPr>
        <w:t xml:space="preserve"> </w:t>
      </w:r>
      <w:r w:rsidRPr="00D60613">
        <w:rPr>
          <w:rFonts w:cs="Arial"/>
        </w:rPr>
        <w:t>than 35% of the associated salary.</w:t>
      </w:r>
    </w:p>
    <w:p w:rsidR="00D60613" w:rsidRPr="00D60613" w:rsidRDefault="00D60613" w:rsidP="00D60613">
      <w:pPr>
        <w:autoSpaceDE w:val="0"/>
        <w:autoSpaceDN w:val="0"/>
        <w:adjustRightInd w:val="0"/>
        <w:spacing w:after="0" w:line="240" w:lineRule="auto"/>
        <w:rPr>
          <w:rFonts w:cs="Arial"/>
        </w:rPr>
      </w:pPr>
      <w:r w:rsidRPr="00D60613">
        <w:rPr>
          <w:rFonts w:cs="Arial"/>
        </w:rPr>
        <w:t>c. Ensure the fringe benefits are charged to Federal and nonfederal (matching/</w:t>
      </w:r>
      <w:proofErr w:type="spellStart"/>
      <w:r w:rsidRPr="00D60613">
        <w:rPr>
          <w:rFonts w:cs="Arial"/>
        </w:rPr>
        <w:t>costshare</w:t>
      </w:r>
      <w:proofErr w:type="spellEnd"/>
      <w:r w:rsidRPr="00D60613">
        <w:rPr>
          <w:rFonts w:cs="Arial"/>
        </w:rPr>
        <w:t>)</w:t>
      </w:r>
      <w:r w:rsidR="00A65AC1">
        <w:rPr>
          <w:rFonts w:cs="Arial"/>
        </w:rPr>
        <w:t xml:space="preserve"> </w:t>
      </w:r>
      <w:r w:rsidRPr="00D60613">
        <w:rPr>
          <w:rFonts w:cs="Arial"/>
        </w:rPr>
        <w:t>categories in the same proportion as salaries.</w:t>
      </w:r>
    </w:p>
    <w:p w:rsidR="00D60613" w:rsidRPr="00D60613" w:rsidRDefault="00D60613" w:rsidP="00D60613">
      <w:pPr>
        <w:autoSpaceDE w:val="0"/>
        <w:autoSpaceDN w:val="0"/>
        <w:adjustRightInd w:val="0"/>
        <w:spacing w:after="0" w:line="240" w:lineRule="auto"/>
        <w:rPr>
          <w:rFonts w:cs="Arial"/>
        </w:rPr>
      </w:pPr>
      <w:r w:rsidRPr="00D60613">
        <w:rPr>
          <w:rFonts w:cs="Arial"/>
        </w:rPr>
        <w:t>d. Do not charge under another cost category any costs that are included within the</w:t>
      </w:r>
      <w:r w:rsidR="00A65AC1">
        <w:rPr>
          <w:rFonts w:cs="Arial"/>
        </w:rPr>
        <w:t xml:space="preserve"> </w:t>
      </w:r>
      <w:r w:rsidRPr="00D60613">
        <w:rPr>
          <w:rFonts w:cs="Arial"/>
        </w:rPr>
        <w:t>fringe rate or indirect costs.</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rPr>
      </w:pPr>
      <w:r w:rsidRPr="00D60613">
        <w:rPr>
          <w:rFonts w:cs="Arial"/>
          <w:b/>
          <w:bCs/>
        </w:rPr>
        <w:t xml:space="preserve">Travel: </w:t>
      </w:r>
      <w:r w:rsidRPr="00D60613">
        <w:rPr>
          <w:rFonts w:cs="Arial"/>
        </w:rPr>
        <w:t>Provide breakdown of travel costs as follows:</w:t>
      </w:r>
    </w:p>
    <w:p w:rsidR="00D60613" w:rsidRPr="00D60613" w:rsidRDefault="00D60613" w:rsidP="00D60613">
      <w:pPr>
        <w:autoSpaceDE w:val="0"/>
        <w:autoSpaceDN w:val="0"/>
        <w:adjustRightInd w:val="0"/>
        <w:spacing w:after="0" w:line="240" w:lineRule="auto"/>
        <w:rPr>
          <w:rFonts w:cs="Arial"/>
        </w:rPr>
      </w:pPr>
      <w:r w:rsidRPr="00D60613">
        <w:rPr>
          <w:rFonts w:cs="Arial"/>
        </w:rPr>
        <w:t>a. Destination</w:t>
      </w:r>
    </w:p>
    <w:p w:rsidR="00D60613" w:rsidRPr="00D60613" w:rsidRDefault="00D60613" w:rsidP="00D60613">
      <w:pPr>
        <w:autoSpaceDE w:val="0"/>
        <w:autoSpaceDN w:val="0"/>
        <w:adjustRightInd w:val="0"/>
        <w:spacing w:after="0" w:line="240" w:lineRule="auto"/>
        <w:rPr>
          <w:rFonts w:cs="Arial"/>
        </w:rPr>
      </w:pPr>
      <w:r w:rsidRPr="00D60613">
        <w:rPr>
          <w:rFonts w:cs="Arial"/>
        </w:rPr>
        <w:t>b. Estimated costs and type of transportation</w:t>
      </w:r>
    </w:p>
    <w:p w:rsidR="00D60613" w:rsidRPr="00D60613" w:rsidRDefault="00D60613" w:rsidP="00D60613">
      <w:pPr>
        <w:autoSpaceDE w:val="0"/>
        <w:autoSpaceDN w:val="0"/>
        <w:adjustRightInd w:val="0"/>
        <w:spacing w:after="0" w:line="240" w:lineRule="auto"/>
        <w:rPr>
          <w:rFonts w:cs="Arial"/>
        </w:rPr>
      </w:pPr>
      <w:r w:rsidRPr="00D60613">
        <w:rPr>
          <w:rFonts w:cs="Arial"/>
        </w:rPr>
        <w:t>c. Number of travelers and related lodging and subsistence (per diem costs)</w:t>
      </w:r>
    </w:p>
    <w:p w:rsidR="00D60613" w:rsidRPr="00D60613" w:rsidRDefault="00D60613" w:rsidP="00D60613">
      <w:pPr>
        <w:autoSpaceDE w:val="0"/>
        <w:autoSpaceDN w:val="0"/>
        <w:adjustRightInd w:val="0"/>
        <w:spacing w:after="0" w:line="240" w:lineRule="auto"/>
        <w:rPr>
          <w:rFonts w:cs="Arial"/>
        </w:rPr>
      </w:pPr>
      <w:r w:rsidRPr="00D60613">
        <w:rPr>
          <w:rFonts w:cs="Arial"/>
        </w:rPr>
        <w:lastRenderedPageBreak/>
        <w:t>d. Brief description of the travel involved, its purpose, and explanation of how the</w:t>
      </w:r>
      <w:r w:rsidR="00A65AC1">
        <w:rPr>
          <w:rFonts w:cs="Arial"/>
        </w:rPr>
        <w:t xml:space="preserve"> </w:t>
      </w:r>
      <w:r w:rsidRPr="00D60613">
        <w:rPr>
          <w:rFonts w:cs="Arial"/>
        </w:rPr>
        <w:t>proposed travel is necessary for successful completion of the project.</w:t>
      </w:r>
    </w:p>
    <w:p w:rsidR="00A65AC1" w:rsidRDefault="00A65AC1" w:rsidP="00D60613">
      <w:pPr>
        <w:autoSpaceDE w:val="0"/>
        <w:autoSpaceDN w:val="0"/>
        <w:adjustRightInd w:val="0"/>
        <w:spacing w:after="0" w:line="240" w:lineRule="auto"/>
        <w:rPr>
          <w:rFonts w:cs="Arial"/>
        </w:rPr>
      </w:pPr>
    </w:p>
    <w:p w:rsidR="00D60613" w:rsidRPr="00D60613" w:rsidRDefault="00D60613" w:rsidP="00D60613">
      <w:pPr>
        <w:autoSpaceDE w:val="0"/>
        <w:autoSpaceDN w:val="0"/>
        <w:adjustRightInd w:val="0"/>
        <w:spacing w:after="0" w:line="240" w:lineRule="auto"/>
        <w:rPr>
          <w:rFonts w:cs="Arial"/>
        </w:rPr>
      </w:pPr>
      <w:r w:rsidRPr="00D60613">
        <w:rPr>
          <w:rFonts w:cs="Arial"/>
        </w:rPr>
        <w:t>(Other travel considerations :)</w:t>
      </w:r>
    </w:p>
    <w:p w:rsidR="00D60613" w:rsidRPr="00D60613" w:rsidRDefault="00D60613" w:rsidP="00D60613">
      <w:pPr>
        <w:autoSpaceDE w:val="0"/>
        <w:autoSpaceDN w:val="0"/>
        <w:adjustRightInd w:val="0"/>
        <w:spacing w:after="0" w:line="240" w:lineRule="auto"/>
        <w:rPr>
          <w:rFonts w:cs="Arial"/>
        </w:rPr>
      </w:pPr>
      <w:r w:rsidRPr="00D60613">
        <w:rPr>
          <w:rFonts w:cs="Arial"/>
        </w:rPr>
        <w:t>a. If travel details are unknown, then the basis for proposed costs should be</w:t>
      </w:r>
      <w:r w:rsidR="00A65AC1">
        <w:rPr>
          <w:rFonts w:cs="Arial"/>
        </w:rPr>
        <w:t xml:space="preserve"> </w:t>
      </w:r>
      <w:r w:rsidRPr="00D60613">
        <w:rPr>
          <w:rFonts w:cs="Arial"/>
        </w:rPr>
        <w:t>explained (i.e., historical information) - do not "pull numbers out of the air" or list</w:t>
      </w:r>
      <w:r w:rsidR="00A65AC1">
        <w:rPr>
          <w:rFonts w:cs="Arial"/>
        </w:rPr>
        <w:t xml:space="preserve"> </w:t>
      </w:r>
      <w:r w:rsidRPr="00D60613">
        <w:rPr>
          <w:rFonts w:cs="Arial"/>
        </w:rPr>
        <w:t>a lump sum estimate.</w:t>
      </w:r>
    </w:p>
    <w:p w:rsidR="00D60613" w:rsidRPr="00D60613" w:rsidRDefault="00D60613" w:rsidP="00D60613">
      <w:pPr>
        <w:autoSpaceDE w:val="0"/>
        <w:autoSpaceDN w:val="0"/>
        <w:adjustRightInd w:val="0"/>
        <w:spacing w:after="0" w:line="240" w:lineRule="auto"/>
        <w:rPr>
          <w:rFonts w:cs="Arial"/>
        </w:rPr>
      </w:pPr>
      <w:r w:rsidRPr="00D60613">
        <w:rPr>
          <w:rFonts w:cs="Arial"/>
        </w:rPr>
        <w:t>b. Travel costs can be charged on an actual basis, on a per diem or mileage basis in</w:t>
      </w:r>
      <w:r w:rsidR="00A65AC1">
        <w:rPr>
          <w:rFonts w:cs="Arial"/>
        </w:rPr>
        <w:t xml:space="preserve"> </w:t>
      </w:r>
      <w:r w:rsidRPr="00D60613">
        <w:rPr>
          <w:rFonts w:cs="Arial"/>
        </w:rPr>
        <w:t>lieu of actual costs incurred, or a combination of the two if applied consistently</w:t>
      </w:r>
      <w:r w:rsidR="00A65AC1">
        <w:rPr>
          <w:rFonts w:cs="Arial"/>
        </w:rPr>
        <w:t xml:space="preserve"> </w:t>
      </w:r>
      <w:r w:rsidRPr="00D60613">
        <w:rPr>
          <w:rFonts w:cs="Arial"/>
        </w:rPr>
        <w:t>and results in reasonable charges.</w:t>
      </w:r>
    </w:p>
    <w:p w:rsidR="00A65AC1" w:rsidRDefault="00D60613" w:rsidP="00D60613">
      <w:pPr>
        <w:autoSpaceDE w:val="0"/>
        <w:autoSpaceDN w:val="0"/>
        <w:adjustRightInd w:val="0"/>
        <w:spacing w:after="0" w:line="240" w:lineRule="auto"/>
        <w:rPr>
          <w:rFonts w:cs="Arial"/>
        </w:rPr>
      </w:pPr>
      <w:r w:rsidRPr="00D60613">
        <w:rPr>
          <w:rFonts w:cs="Arial"/>
        </w:rPr>
        <w:t>c. Remember "Fly America Act"</w:t>
      </w:r>
    </w:p>
    <w:p w:rsidR="00D60613" w:rsidRPr="00D60613" w:rsidRDefault="00A65AC1" w:rsidP="00D60613">
      <w:pPr>
        <w:autoSpaceDE w:val="0"/>
        <w:autoSpaceDN w:val="0"/>
        <w:adjustRightInd w:val="0"/>
        <w:spacing w:after="0" w:line="240" w:lineRule="auto"/>
        <w:rPr>
          <w:rFonts w:cs="Arial"/>
        </w:rPr>
      </w:pPr>
      <w:r>
        <w:rPr>
          <w:rFonts w:cs="Arial"/>
        </w:rPr>
        <w:tab/>
      </w:r>
      <w:r w:rsidR="00D60613" w:rsidRPr="00D60613">
        <w:rPr>
          <w:rFonts w:cs="Arial"/>
        </w:rPr>
        <w:t>a. Limits the use of foreign flag carriers to foreign travel.</w:t>
      </w:r>
    </w:p>
    <w:p w:rsidR="00D60613" w:rsidRPr="00D60613" w:rsidRDefault="00A65AC1" w:rsidP="00D60613">
      <w:pPr>
        <w:autoSpaceDE w:val="0"/>
        <w:autoSpaceDN w:val="0"/>
        <w:adjustRightInd w:val="0"/>
        <w:spacing w:after="0" w:line="240" w:lineRule="auto"/>
        <w:rPr>
          <w:rFonts w:cs="Arial"/>
        </w:rPr>
      </w:pPr>
      <w:r>
        <w:rPr>
          <w:rFonts w:cs="Arial"/>
        </w:rPr>
        <w:tab/>
      </w:r>
      <w:r w:rsidR="00D60613" w:rsidRPr="00D60613">
        <w:rPr>
          <w:rFonts w:cs="Arial"/>
        </w:rPr>
        <w:t>b. Waiver only allowed for specific instances and will require prior approval.</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Equipment:</w:t>
      </w:r>
    </w:p>
    <w:p w:rsidR="00D60613" w:rsidRPr="00D60613" w:rsidRDefault="00D60613" w:rsidP="00D60613">
      <w:pPr>
        <w:autoSpaceDE w:val="0"/>
        <w:autoSpaceDN w:val="0"/>
        <w:adjustRightInd w:val="0"/>
        <w:spacing w:after="0" w:line="240" w:lineRule="auto"/>
        <w:rPr>
          <w:rFonts w:cs="Arial"/>
        </w:rPr>
      </w:pPr>
      <w:r w:rsidRPr="00D60613">
        <w:rPr>
          <w:rFonts w:cs="Arial"/>
        </w:rPr>
        <w:t>a. "Equipment" is nonexpendable, tangible personal property with a unit cost of</w:t>
      </w:r>
      <w:r w:rsidR="00A65AC1">
        <w:rPr>
          <w:rFonts w:cs="Arial"/>
        </w:rPr>
        <w:t xml:space="preserve"> </w:t>
      </w:r>
      <w:r w:rsidRPr="00D60613">
        <w:rPr>
          <w:rFonts w:cs="Arial"/>
        </w:rPr>
        <w:t>$5,000 or more having a useful life of more than 1 year, unless determined</w:t>
      </w:r>
      <w:r w:rsidR="00A65AC1">
        <w:rPr>
          <w:rFonts w:cs="Arial"/>
        </w:rPr>
        <w:t xml:space="preserve"> </w:t>
      </w:r>
      <w:r w:rsidRPr="00D60613">
        <w:rPr>
          <w:rFonts w:cs="Arial"/>
        </w:rPr>
        <w:t>otherwise by recipient’s internal policy.</w:t>
      </w:r>
    </w:p>
    <w:p w:rsidR="00A65AC1" w:rsidRDefault="00D60613" w:rsidP="00D60613">
      <w:pPr>
        <w:autoSpaceDE w:val="0"/>
        <w:autoSpaceDN w:val="0"/>
        <w:adjustRightInd w:val="0"/>
        <w:spacing w:after="0" w:line="240" w:lineRule="auto"/>
        <w:rPr>
          <w:rFonts w:cs="Arial"/>
        </w:rPr>
      </w:pPr>
      <w:r w:rsidRPr="00D60613">
        <w:rPr>
          <w:rFonts w:cs="Arial"/>
        </w:rPr>
        <w:t>b. Items that do not meet the "equipment" definition can be included under supplies</w:t>
      </w:r>
      <w:r w:rsidR="00A65AC1">
        <w:rPr>
          <w:rFonts w:cs="Arial"/>
        </w:rPr>
        <w:t xml:space="preserve"> </w:t>
      </w:r>
    </w:p>
    <w:p w:rsidR="00D60613" w:rsidRPr="00D60613" w:rsidRDefault="00D60613" w:rsidP="00D60613">
      <w:pPr>
        <w:autoSpaceDE w:val="0"/>
        <w:autoSpaceDN w:val="0"/>
        <w:adjustRightInd w:val="0"/>
        <w:spacing w:after="0" w:line="240" w:lineRule="auto"/>
        <w:rPr>
          <w:rFonts w:cs="Arial"/>
        </w:rPr>
      </w:pPr>
      <w:r w:rsidRPr="00D60613">
        <w:rPr>
          <w:rFonts w:cs="Arial"/>
        </w:rPr>
        <w:t>c. List each piece of equipment to be purchased and provide description of how it will</w:t>
      </w:r>
      <w:r w:rsidR="00A65AC1">
        <w:rPr>
          <w:rFonts w:cs="Arial"/>
        </w:rPr>
        <w:t xml:space="preserve"> </w:t>
      </w:r>
      <w:r w:rsidRPr="00D60613">
        <w:rPr>
          <w:rFonts w:cs="Arial"/>
        </w:rPr>
        <w:t>be used in the project.</w:t>
      </w:r>
    </w:p>
    <w:p w:rsidR="00D60613" w:rsidRPr="00D60613" w:rsidRDefault="00D60613" w:rsidP="00D60613">
      <w:pPr>
        <w:autoSpaceDE w:val="0"/>
        <w:autoSpaceDN w:val="0"/>
        <w:adjustRightInd w:val="0"/>
        <w:spacing w:after="0" w:line="240" w:lineRule="auto"/>
        <w:rPr>
          <w:rFonts w:cs="Arial"/>
        </w:rPr>
      </w:pPr>
      <w:r w:rsidRPr="00D60613">
        <w:rPr>
          <w:rFonts w:cs="Arial"/>
        </w:rPr>
        <w:t>d. Budget narrative should explain why the equipment is necessary for successful</w:t>
      </w:r>
      <w:r w:rsidR="00A65AC1">
        <w:rPr>
          <w:rFonts w:cs="Arial"/>
        </w:rPr>
        <w:t xml:space="preserve"> </w:t>
      </w:r>
      <w:r w:rsidRPr="00D60613">
        <w:rPr>
          <w:rFonts w:cs="Arial"/>
        </w:rPr>
        <w:t>completion of the project.</w:t>
      </w:r>
    </w:p>
    <w:p w:rsidR="00D60613" w:rsidRPr="00D60613" w:rsidRDefault="00D60613" w:rsidP="00D60613">
      <w:pPr>
        <w:autoSpaceDE w:val="0"/>
        <w:autoSpaceDN w:val="0"/>
        <w:adjustRightInd w:val="0"/>
        <w:spacing w:after="0" w:line="240" w:lineRule="auto"/>
        <w:rPr>
          <w:rFonts w:cs="Arial"/>
        </w:rPr>
      </w:pPr>
      <w:r w:rsidRPr="00D60613">
        <w:rPr>
          <w:rFonts w:cs="Arial"/>
        </w:rPr>
        <w:t>e. General use equipment (i.e., computers, faxes, etc.) must be used 100% for the</w:t>
      </w:r>
      <w:r w:rsidR="00A65AC1">
        <w:rPr>
          <w:rFonts w:cs="Arial"/>
        </w:rPr>
        <w:t xml:space="preserve"> </w:t>
      </w:r>
      <w:r w:rsidRPr="00D60613">
        <w:rPr>
          <w:rFonts w:cs="Arial"/>
        </w:rPr>
        <w:t>proposed project if charged directly to the grant.</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Supplies:</w:t>
      </w:r>
    </w:p>
    <w:p w:rsidR="00D60613" w:rsidRPr="00D60613" w:rsidRDefault="00D60613" w:rsidP="00D60613">
      <w:pPr>
        <w:autoSpaceDE w:val="0"/>
        <w:autoSpaceDN w:val="0"/>
        <w:adjustRightInd w:val="0"/>
        <w:spacing w:after="0" w:line="240" w:lineRule="auto"/>
        <w:rPr>
          <w:rFonts w:cs="Arial"/>
        </w:rPr>
      </w:pPr>
      <w:r w:rsidRPr="00D60613">
        <w:rPr>
          <w:rFonts w:cs="Arial"/>
        </w:rPr>
        <w:t>a. Explanation necessary for supplies costing more than $5,000, or five percent of</w:t>
      </w:r>
      <w:r w:rsidR="00A65AC1">
        <w:rPr>
          <w:rFonts w:cs="Arial"/>
        </w:rPr>
        <w:t xml:space="preserve"> </w:t>
      </w:r>
      <w:r w:rsidRPr="00D60613">
        <w:rPr>
          <w:rFonts w:cs="Arial"/>
        </w:rPr>
        <w:t>the award, whichever is greater.</w:t>
      </w:r>
    </w:p>
    <w:p w:rsidR="00D60613" w:rsidRPr="00D60613" w:rsidRDefault="00D60613" w:rsidP="00D60613">
      <w:pPr>
        <w:autoSpaceDE w:val="0"/>
        <w:autoSpaceDN w:val="0"/>
        <w:adjustRightInd w:val="0"/>
        <w:spacing w:after="0" w:line="240" w:lineRule="auto"/>
        <w:rPr>
          <w:rFonts w:cs="Arial"/>
        </w:rPr>
      </w:pPr>
      <w:r w:rsidRPr="00D60613">
        <w:rPr>
          <w:rFonts w:cs="Arial"/>
        </w:rPr>
        <w:t>b. Requirements for supplies which exceed thresholds:</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Explain the type of supplies to be purchased, or the nature of the expense</w:t>
      </w:r>
      <w:r>
        <w:rPr>
          <w:rFonts w:cs="Arial"/>
        </w:rPr>
        <w:t xml:space="preserve"> </w:t>
      </w:r>
      <w:r w:rsidR="00D60613" w:rsidRPr="00D60613">
        <w:rPr>
          <w:rFonts w:cs="Arial"/>
        </w:rPr>
        <w:t xml:space="preserve">in the budget </w:t>
      </w:r>
      <w:r>
        <w:rPr>
          <w:rFonts w:cs="Arial"/>
        </w:rPr>
        <w:tab/>
      </w:r>
      <w:r w:rsidR="00D60613" w:rsidRPr="00D60613">
        <w:rPr>
          <w:rFonts w:cs="Arial"/>
        </w:rPr>
        <w:t>narrative;</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Provide a breakdown of supplies by quantity and cost per unit if known;</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Indicate basis for estimate of supplies, i.e., historical use on similar</w:t>
      </w:r>
      <w:r>
        <w:rPr>
          <w:rFonts w:cs="Arial"/>
        </w:rPr>
        <w:t xml:space="preserve"> </w:t>
      </w:r>
      <w:r w:rsidR="00D60613" w:rsidRPr="00D60613">
        <w:rPr>
          <w:rFonts w:cs="Arial"/>
        </w:rPr>
        <w:t>projects.</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Contractual:</w:t>
      </w:r>
    </w:p>
    <w:p w:rsidR="00D60613" w:rsidRPr="00D60613" w:rsidRDefault="00D60613" w:rsidP="00D60613">
      <w:pPr>
        <w:autoSpaceDE w:val="0"/>
        <w:autoSpaceDN w:val="0"/>
        <w:adjustRightInd w:val="0"/>
        <w:spacing w:after="0" w:line="240" w:lineRule="auto"/>
        <w:rPr>
          <w:rFonts w:cs="Arial"/>
        </w:rPr>
      </w:pPr>
      <w:r w:rsidRPr="00D60613">
        <w:rPr>
          <w:rFonts w:cs="Arial"/>
        </w:rPr>
        <w:t>a. Treat each contract or sub grant as a separate item.</w:t>
      </w:r>
    </w:p>
    <w:p w:rsidR="00D60613" w:rsidRPr="00D60613" w:rsidRDefault="00D60613" w:rsidP="00D60613">
      <w:pPr>
        <w:autoSpaceDE w:val="0"/>
        <w:autoSpaceDN w:val="0"/>
        <w:adjustRightInd w:val="0"/>
        <w:spacing w:after="0" w:line="240" w:lineRule="auto"/>
        <w:rPr>
          <w:rFonts w:cs="Arial"/>
        </w:rPr>
      </w:pPr>
      <w:r w:rsidRPr="00D60613">
        <w:rPr>
          <w:rFonts w:cs="Arial"/>
        </w:rPr>
        <w:t>b. Describe products or services to be obtained and indicate the applicability or</w:t>
      </w:r>
      <w:r w:rsidR="00A65AC1">
        <w:rPr>
          <w:rFonts w:cs="Arial"/>
        </w:rPr>
        <w:t xml:space="preserve"> </w:t>
      </w:r>
      <w:r w:rsidRPr="00D60613">
        <w:rPr>
          <w:rFonts w:cs="Arial"/>
        </w:rPr>
        <w:t>necessity of each to the project.</w:t>
      </w:r>
    </w:p>
    <w:p w:rsidR="00D60613" w:rsidRPr="00D60613" w:rsidRDefault="00D60613" w:rsidP="00D60613">
      <w:pPr>
        <w:autoSpaceDE w:val="0"/>
        <w:autoSpaceDN w:val="0"/>
        <w:adjustRightInd w:val="0"/>
        <w:spacing w:after="0" w:line="240" w:lineRule="auto"/>
        <w:rPr>
          <w:rFonts w:cs="Arial"/>
        </w:rPr>
      </w:pPr>
      <w:r w:rsidRPr="00D60613">
        <w:rPr>
          <w:rFonts w:cs="Arial"/>
        </w:rPr>
        <w:t>c. Provide separate budgets for each sub grant or contract, regardless of the dollar</w:t>
      </w:r>
      <w:r w:rsidR="00A65AC1">
        <w:rPr>
          <w:rFonts w:cs="Arial"/>
        </w:rPr>
        <w:t xml:space="preserve"> </w:t>
      </w:r>
      <w:r w:rsidRPr="00D60613">
        <w:rPr>
          <w:rFonts w:cs="Arial"/>
        </w:rPr>
        <w:t>value and indicate the basis for the cost estimates in the narrative.</w:t>
      </w:r>
    </w:p>
    <w:p w:rsidR="00D60613" w:rsidRPr="00D60613" w:rsidRDefault="00D60613" w:rsidP="00D60613">
      <w:pPr>
        <w:autoSpaceDE w:val="0"/>
        <w:autoSpaceDN w:val="0"/>
        <w:adjustRightInd w:val="0"/>
        <w:spacing w:after="0" w:line="240" w:lineRule="auto"/>
        <w:rPr>
          <w:rFonts w:cs="Arial"/>
        </w:rPr>
      </w:pPr>
      <w:r w:rsidRPr="00D60613">
        <w:rPr>
          <w:rFonts w:cs="Arial"/>
        </w:rPr>
        <w:t>d. List all grant or contract costs under the Contractual Line Item on the SF</w:t>
      </w:r>
      <w:r w:rsidR="003D2ECF">
        <w:rPr>
          <w:rFonts w:cs="Arial"/>
        </w:rPr>
        <w:t>-</w:t>
      </w:r>
      <w:r w:rsidRPr="00D60613">
        <w:rPr>
          <w:rFonts w:cs="Arial"/>
        </w:rPr>
        <w:t>424A.</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Example - do not incorporate a grantee’s indirect costs under the indirect</w:t>
      </w:r>
      <w:r>
        <w:rPr>
          <w:rFonts w:cs="Arial"/>
        </w:rPr>
        <w:t xml:space="preserve"> </w:t>
      </w:r>
      <w:r w:rsidR="00D60613" w:rsidRPr="00D60613">
        <w:rPr>
          <w:rFonts w:cs="Arial"/>
        </w:rPr>
        <w:t xml:space="preserve">costs line item for </w:t>
      </w:r>
      <w:r>
        <w:rPr>
          <w:rFonts w:cs="Arial"/>
        </w:rPr>
        <w:tab/>
      </w:r>
      <w:r w:rsidR="00D60613" w:rsidRPr="00D60613">
        <w:rPr>
          <w:rFonts w:cs="Arial"/>
        </w:rPr>
        <w:t>the applicant/grantee.</w:t>
      </w:r>
    </w:p>
    <w:p w:rsidR="00A65AC1" w:rsidRDefault="00A65AC1" w:rsidP="00D60613">
      <w:pPr>
        <w:autoSpaceDE w:val="0"/>
        <w:autoSpaceDN w:val="0"/>
        <w:adjustRightInd w:val="0"/>
        <w:spacing w:after="0" w:line="240" w:lineRule="auto"/>
        <w:rPr>
          <w:rFonts w:cs="Arial"/>
          <w:b/>
          <w:bCs/>
        </w:rPr>
      </w:pPr>
    </w:p>
    <w:p w:rsidR="00D60613" w:rsidRPr="00D60613" w:rsidRDefault="00D60613" w:rsidP="00D60613">
      <w:pPr>
        <w:autoSpaceDE w:val="0"/>
        <w:autoSpaceDN w:val="0"/>
        <w:adjustRightInd w:val="0"/>
        <w:spacing w:after="0" w:line="240" w:lineRule="auto"/>
        <w:rPr>
          <w:rFonts w:cs="Arial"/>
          <w:b/>
          <w:bCs/>
        </w:rPr>
      </w:pPr>
      <w:r w:rsidRPr="00D60613">
        <w:rPr>
          <w:rFonts w:cs="Arial"/>
          <w:b/>
          <w:bCs/>
        </w:rPr>
        <w:t>Other:</w:t>
      </w:r>
    </w:p>
    <w:p w:rsidR="00D60613" w:rsidRPr="00D60613" w:rsidRDefault="00D60613" w:rsidP="00D60613">
      <w:pPr>
        <w:autoSpaceDE w:val="0"/>
        <w:autoSpaceDN w:val="0"/>
        <w:adjustRightInd w:val="0"/>
        <w:spacing w:after="0" w:line="240" w:lineRule="auto"/>
        <w:rPr>
          <w:rFonts w:cs="Arial"/>
        </w:rPr>
      </w:pPr>
      <w:r w:rsidRPr="00D60613">
        <w:rPr>
          <w:rFonts w:cs="Arial"/>
        </w:rPr>
        <w:t>a. List items by type of material or nature of expense.</w:t>
      </w:r>
    </w:p>
    <w:p w:rsidR="00D60613" w:rsidRPr="00D60613" w:rsidRDefault="00D60613" w:rsidP="00D60613">
      <w:pPr>
        <w:autoSpaceDE w:val="0"/>
        <w:autoSpaceDN w:val="0"/>
        <w:adjustRightInd w:val="0"/>
        <w:spacing w:after="0" w:line="240" w:lineRule="auto"/>
        <w:rPr>
          <w:rFonts w:cs="Arial"/>
        </w:rPr>
      </w:pPr>
      <w:r w:rsidRPr="00D60613">
        <w:rPr>
          <w:rFonts w:cs="Arial"/>
        </w:rPr>
        <w:t>b. Break down total costs by quantity and cost per unit if applicable.</w:t>
      </w:r>
    </w:p>
    <w:p w:rsidR="00D60613" w:rsidRPr="00D60613" w:rsidRDefault="00D60613" w:rsidP="00D60613">
      <w:pPr>
        <w:autoSpaceDE w:val="0"/>
        <w:autoSpaceDN w:val="0"/>
        <w:adjustRightInd w:val="0"/>
        <w:spacing w:after="0" w:line="240" w:lineRule="auto"/>
        <w:rPr>
          <w:rFonts w:cs="Arial"/>
        </w:rPr>
      </w:pPr>
      <w:r w:rsidRPr="00D60613">
        <w:rPr>
          <w:rFonts w:cs="Arial"/>
        </w:rPr>
        <w:t>c. State the necessity of other costs for successful completion of the project.</w:t>
      </w:r>
    </w:p>
    <w:p w:rsidR="00D60613" w:rsidRPr="00D60613" w:rsidRDefault="00D60613" w:rsidP="00D60613">
      <w:pPr>
        <w:autoSpaceDE w:val="0"/>
        <w:autoSpaceDN w:val="0"/>
        <w:adjustRightInd w:val="0"/>
        <w:spacing w:after="0" w:line="240" w:lineRule="auto"/>
        <w:rPr>
          <w:rFonts w:cs="Arial"/>
        </w:rPr>
      </w:pPr>
      <w:r w:rsidRPr="00D60613">
        <w:rPr>
          <w:rFonts w:cs="Arial"/>
        </w:rPr>
        <w:t xml:space="preserve">d. Exclude unallowable costs in accordance with </w:t>
      </w:r>
      <w:r w:rsidR="003D2ECF">
        <w:rPr>
          <w:rFonts w:cs="Arial"/>
        </w:rPr>
        <w:t>the Uniform Guidance</w:t>
      </w:r>
      <w:r w:rsidRPr="00D60613">
        <w:rPr>
          <w:rFonts w:cs="Arial"/>
        </w:rPr>
        <w:t>, examples include:</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Alcohol</w:t>
      </w:r>
    </w:p>
    <w:p w:rsidR="00D60613" w:rsidRPr="00D60613" w:rsidRDefault="00A65AC1" w:rsidP="00D60613">
      <w:pPr>
        <w:autoSpaceDE w:val="0"/>
        <w:autoSpaceDN w:val="0"/>
        <w:adjustRightInd w:val="0"/>
        <w:spacing w:after="0" w:line="240" w:lineRule="auto"/>
        <w:rPr>
          <w:rFonts w:cs="Arial"/>
        </w:rPr>
      </w:pPr>
      <w:r>
        <w:rPr>
          <w:rFonts w:cs="Courier New"/>
        </w:rPr>
        <w:lastRenderedPageBreak/>
        <w:tab/>
      </w:r>
      <w:r w:rsidR="00D60613" w:rsidRPr="00D60613">
        <w:rPr>
          <w:rFonts w:cs="Courier New"/>
        </w:rPr>
        <w:t xml:space="preserve">o </w:t>
      </w:r>
      <w:r w:rsidR="00D60613" w:rsidRPr="00D60613">
        <w:rPr>
          <w:rFonts w:cs="Arial"/>
        </w:rPr>
        <w:t>Contingency</w:t>
      </w:r>
    </w:p>
    <w:p w:rsidR="00D60613" w:rsidRPr="00D60613" w:rsidRDefault="00A65AC1" w:rsidP="00D60613">
      <w:pPr>
        <w:autoSpaceDE w:val="0"/>
        <w:autoSpaceDN w:val="0"/>
        <w:adjustRightInd w:val="0"/>
        <w:spacing w:after="0" w:line="240" w:lineRule="auto"/>
        <w:rPr>
          <w:rFonts w:cs="Arial"/>
        </w:rPr>
      </w:pPr>
      <w:r>
        <w:rPr>
          <w:rFonts w:cs="Courier New"/>
        </w:rPr>
        <w:tab/>
      </w:r>
      <w:r w:rsidR="00D60613" w:rsidRPr="00D60613">
        <w:rPr>
          <w:rFonts w:cs="Courier New"/>
        </w:rPr>
        <w:t xml:space="preserve">o </w:t>
      </w:r>
      <w:r w:rsidR="00D60613" w:rsidRPr="00D60613">
        <w:rPr>
          <w:rFonts w:cs="Arial"/>
        </w:rPr>
        <w:t>Entertainment</w:t>
      </w:r>
    </w:p>
    <w:p w:rsidR="00D60613" w:rsidRDefault="00A65AC1" w:rsidP="00D60613">
      <w:pPr>
        <w:rPr>
          <w:rFonts w:cs="Arial"/>
        </w:rPr>
      </w:pPr>
      <w:r>
        <w:rPr>
          <w:rFonts w:cs="Courier New"/>
        </w:rPr>
        <w:tab/>
      </w:r>
      <w:r w:rsidR="00D60613" w:rsidRPr="00D60613">
        <w:rPr>
          <w:rFonts w:cs="Courier New"/>
        </w:rPr>
        <w:t xml:space="preserve">o </w:t>
      </w:r>
      <w:r w:rsidR="00D60613" w:rsidRPr="00D60613">
        <w:rPr>
          <w:rFonts w:cs="Arial"/>
        </w:rPr>
        <w:t>Fund Raising</w:t>
      </w:r>
    </w:p>
    <w:p w:rsidR="00A65AC1" w:rsidRDefault="00A65AC1">
      <w:pPr>
        <w:rPr>
          <w:rFonts w:cs="Arial"/>
        </w:rPr>
      </w:pPr>
      <w:r>
        <w:rPr>
          <w:rFonts w:cs="Arial"/>
        </w:rPr>
        <w:br w:type="page"/>
      </w:r>
    </w:p>
    <w:p w:rsidR="00A65AC1" w:rsidRPr="00A65AC1" w:rsidRDefault="00A65AC1" w:rsidP="00A65AC1">
      <w:pPr>
        <w:ind w:left="720"/>
        <w:jc w:val="center"/>
        <w:rPr>
          <w:b/>
        </w:rPr>
      </w:pPr>
      <w:r w:rsidRPr="00A65AC1">
        <w:rPr>
          <w:b/>
        </w:rPr>
        <w:lastRenderedPageBreak/>
        <w:t>Justification Considerations</w:t>
      </w:r>
    </w:p>
    <w:p w:rsidR="000E7E3E" w:rsidRPr="00D60613" w:rsidRDefault="00E36928" w:rsidP="00497D12">
      <w:pPr>
        <w:numPr>
          <w:ilvl w:val="0"/>
          <w:numId w:val="1"/>
        </w:numPr>
      </w:pPr>
      <w:r w:rsidRPr="00D60613">
        <w:t>A budget justification, or narrative, should accompany the budget schedules.</w:t>
      </w:r>
    </w:p>
    <w:p w:rsidR="000E7E3E" w:rsidRPr="00D60613" w:rsidRDefault="00E36928" w:rsidP="00497D12">
      <w:pPr>
        <w:numPr>
          <w:ilvl w:val="0"/>
          <w:numId w:val="1"/>
        </w:numPr>
      </w:pPr>
      <w:r w:rsidRPr="00D60613">
        <w:t>This should describe the expertise of personnel on the project and why other budget items are being requested.</w:t>
      </w:r>
    </w:p>
    <w:p w:rsidR="000E7E3E" w:rsidRPr="00D60613" w:rsidRDefault="00E36928" w:rsidP="00497D12">
      <w:pPr>
        <w:numPr>
          <w:ilvl w:val="0"/>
          <w:numId w:val="1"/>
        </w:numPr>
      </w:pPr>
      <w:r w:rsidRPr="00D60613">
        <w:t>Some sponsors have page limitations or specific formats for the budget justification that must be followed.  Check the guidelines.</w:t>
      </w:r>
    </w:p>
    <w:p w:rsidR="000E7E3E" w:rsidRDefault="00E36928" w:rsidP="00497D12">
      <w:pPr>
        <w:numPr>
          <w:ilvl w:val="0"/>
          <w:numId w:val="1"/>
        </w:numPr>
      </w:pPr>
      <w:r w:rsidRPr="00D60613">
        <w:t xml:space="preserve">Some sponsors allow a cost-of-living increase for future year budget projections.  This is usually around 3%. </w:t>
      </w:r>
      <w:r>
        <w:t xml:space="preserve"> </w:t>
      </w:r>
      <w:r w:rsidRPr="00D60613">
        <w:t xml:space="preserve">Read the sponsor’s guidelines to see if this is allowed and what inflation factor to use. </w:t>
      </w:r>
    </w:p>
    <w:p w:rsidR="00E36928" w:rsidRPr="00D60613" w:rsidRDefault="00E36928" w:rsidP="00497D12">
      <w:pPr>
        <w:numPr>
          <w:ilvl w:val="0"/>
          <w:numId w:val="1"/>
        </w:numPr>
      </w:pPr>
      <w:r>
        <w:t xml:space="preserve">Most sponsors request that the effort of personnel be expressed as Person Months as opposed to Percentage of Effort.  To assist in converting effort to person months, please see the following URLs:  </w:t>
      </w:r>
      <w:hyperlink r:id="rId5" w:history="1">
        <w:r w:rsidRPr="00F3616C">
          <w:rPr>
            <w:rStyle w:val="Hyperlink"/>
          </w:rPr>
          <w:t>http://www.pitt.edu/~offres/proposal/PersonMonths.pdf</w:t>
        </w:r>
      </w:hyperlink>
      <w:r>
        <w:t xml:space="preserve">, </w:t>
      </w:r>
      <w:hyperlink r:id="rId6" w:history="1">
        <w:r>
          <w:rPr>
            <w:rStyle w:val="Hyperlink"/>
            <w:rFonts w:ascii="Verdana" w:hAnsi="Verdana"/>
            <w:sz w:val="18"/>
            <w:szCs w:val="18"/>
          </w:rPr>
          <w:t>Person Months FAQ</w:t>
        </w:r>
      </w:hyperlink>
      <w:r>
        <w:rPr>
          <w:rFonts w:ascii="Verdana" w:hAnsi="Verdana"/>
          <w:sz w:val="18"/>
          <w:szCs w:val="18"/>
        </w:rPr>
        <w:t xml:space="preserve"> page and an interactive </w:t>
      </w:r>
      <w:hyperlink r:id="rId7" w:history="1">
        <w:r>
          <w:rPr>
            <w:rStyle w:val="Hyperlink"/>
            <w:rFonts w:ascii="Verdana" w:hAnsi="Verdana"/>
            <w:sz w:val="18"/>
            <w:szCs w:val="18"/>
          </w:rPr>
          <w:t>Excel Conversion Table</w:t>
        </w:r>
      </w:hyperlink>
      <w:r>
        <w:rPr>
          <w:rFonts w:ascii="Verdana" w:hAnsi="Verdana"/>
          <w:sz w:val="18"/>
          <w:szCs w:val="18"/>
        </w:rPr>
        <w:t>.</w:t>
      </w:r>
    </w:p>
    <w:p w:rsidR="000E7E3E" w:rsidRPr="00D60613" w:rsidRDefault="00E36928" w:rsidP="00497D12">
      <w:pPr>
        <w:numPr>
          <w:ilvl w:val="0"/>
          <w:numId w:val="1"/>
        </w:numPr>
      </w:pPr>
      <w:r w:rsidRPr="00D60613">
        <w:t>Some programs require cost sharing (also known as matching or in-kind contributions</w:t>
      </w:r>
      <w:r>
        <w:t xml:space="preserve"> - </w:t>
      </w:r>
      <w:r w:rsidRPr="00D60613">
        <w:t>i.e.</w:t>
      </w:r>
      <w:r w:rsidR="00A65AC1">
        <w:t>,</w:t>
      </w:r>
      <w:r w:rsidRPr="00D60613">
        <w:t xml:space="preserve"> some institutional contribution to the project’s costs</w:t>
      </w:r>
      <w:r>
        <w:t>)</w:t>
      </w:r>
      <w:r w:rsidRPr="00D60613">
        <w:t>.  Sponsor guidelines will state required amount</w:t>
      </w:r>
      <w:r>
        <w:t xml:space="preserve"> or percentage</w:t>
      </w:r>
      <w:r w:rsidRPr="00D60613">
        <w:t>.</w:t>
      </w:r>
    </w:p>
    <w:p w:rsidR="000E7E3E" w:rsidRPr="00D60613" w:rsidRDefault="00E36928" w:rsidP="00497D12">
      <w:pPr>
        <w:numPr>
          <w:ilvl w:val="0"/>
          <w:numId w:val="1"/>
        </w:numPr>
      </w:pPr>
      <w:r w:rsidRPr="00D60613">
        <w:t xml:space="preserve">Do not include </w:t>
      </w:r>
      <w:r>
        <w:t xml:space="preserve">cost-sharing </w:t>
      </w:r>
      <w:r w:rsidRPr="00D60613">
        <w:t xml:space="preserve">unless required by sponsor and include only amount or percentage required by sponsor.  Pitt does not typically volunteer cost share and it must be approved by </w:t>
      </w:r>
      <w:r>
        <w:t xml:space="preserve">the </w:t>
      </w:r>
      <w:r w:rsidRPr="00D60613">
        <w:t>dean’s office.</w:t>
      </w:r>
    </w:p>
    <w:p w:rsidR="000E7E3E" w:rsidRPr="00D60613" w:rsidRDefault="00E36928" w:rsidP="00497D12">
      <w:pPr>
        <w:numPr>
          <w:ilvl w:val="0"/>
          <w:numId w:val="1"/>
        </w:numPr>
      </w:pPr>
      <w:r w:rsidRPr="00D60613">
        <w:t xml:space="preserve">Cost sharing is a REAL cost </w:t>
      </w:r>
      <w:r w:rsidR="00A65AC1">
        <w:t xml:space="preserve">which is </w:t>
      </w:r>
      <w:r w:rsidRPr="00D60613">
        <w:t>subject to audit.  The source of cost-shared funds must be clearly identified.</w:t>
      </w:r>
    </w:p>
    <w:p w:rsidR="007936AA" w:rsidRPr="00D60613" w:rsidRDefault="003D2ECF"/>
    <w:sectPr w:rsidR="007936AA" w:rsidRPr="00D60613" w:rsidSect="00925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EEF"/>
    <w:multiLevelType w:val="hybridMultilevel"/>
    <w:tmpl w:val="E20C8D88"/>
    <w:lvl w:ilvl="0" w:tplc="3E443E6A">
      <w:start w:val="1"/>
      <w:numFmt w:val="bullet"/>
      <w:lvlText w:val="•"/>
      <w:lvlJc w:val="left"/>
      <w:pPr>
        <w:tabs>
          <w:tab w:val="num" w:pos="720"/>
        </w:tabs>
        <w:ind w:left="720" w:hanging="360"/>
      </w:pPr>
      <w:rPr>
        <w:rFonts w:ascii="Times New Roman" w:hAnsi="Times New Roman" w:hint="default"/>
      </w:rPr>
    </w:lvl>
    <w:lvl w:ilvl="1" w:tplc="ECC27652" w:tentative="1">
      <w:start w:val="1"/>
      <w:numFmt w:val="bullet"/>
      <w:lvlText w:val="•"/>
      <w:lvlJc w:val="left"/>
      <w:pPr>
        <w:tabs>
          <w:tab w:val="num" w:pos="1440"/>
        </w:tabs>
        <w:ind w:left="1440" w:hanging="360"/>
      </w:pPr>
      <w:rPr>
        <w:rFonts w:ascii="Times New Roman" w:hAnsi="Times New Roman" w:hint="default"/>
      </w:rPr>
    </w:lvl>
    <w:lvl w:ilvl="2" w:tplc="CB0C35D8" w:tentative="1">
      <w:start w:val="1"/>
      <w:numFmt w:val="bullet"/>
      <w:lvlText w:val="•"/>
      <w:lvlJc w:val="left"/>
      <w:pPr>
        <w:tabs>
          <w:tab w:val="num" w:pos="2160"/>
        </w:tabs>
        <w:ind w:left="2160" w:hanging="360"/>
      </w:pPr>
      <w:rPr>
        <w:rFonts w:ascii="Times New Roman" w:hAnsi="Times New Roman" w:hint="default"/>
      </w:rPr>
    </w:lvl>
    <w:lvl w:ilvl="3" w:tplc="F35819B0" w:tentative="1">
      <w:start w:val="1"/>
      <w:numFmt w:val="bullet"/>
      <w:lvlText w:val="•"/>
      <w:lvlJc w:val="left"/>
      <w:pPr>
        <w:tabs>
          <w:tab w:val="num" w:pos="2880"/>
        </w:tabs>
        <w:ind w:left="2880" w:hanging="360"/>
      </w:pPr>
      <w:rPr>
        <w:rFonts w:ascii="Times New Roman" w:hAnsi="Times New Roman" w:hint="default"/>
      </w:rPr>
    </w:lvl>
    <w:lvl w:ilvl="4" w:tplc="B6A444CE" w:tentative="1">
      <w:start w:val="1"/>
      <w:numFmt w:val="bullet"/>
      <w:lvlText w:val="•"/>
      <w:lvlJc w:val="left"/>
      <w:pPr>
        <w:tabs>
          <w:tab w:val="num" w:pos="3600"/>
        </w:tabs>
        <w:ind w:left="3600" w:hanging="360"/>
      </w:pPr>
      <w:rPr>
        <w:rFonts w:ascii="Times New Roman" w:hAnsi="Times New Roman" w:hint="default"/>
      </w:rPr>
    </w:lvl>
    <w:lvl w:ilvl="5" w:tplc="0F208B56" w:tentative="1">
      <w:start w:val="1"/>
      <w:numFmt w:val="bullet"/>
      <w:lvlText w:val="•"/>
      <w:lvlJc w:val="left"/>
      <w:pPr>
        <w:tabs>
          <w:tab w:val="num" w:pos="4320"/>
        </w:tabs>
        <w:ind w:left="4320" w:hanging="360"/>
      </w:pPr>
      <w:rPr>
        <w:rFonts w:ascii="Times New Roman" w:hAnsi="Times New Roman" w:hint="default"/>
      </w:rPr>
    </w:lvl>
    <w:lvl w:ilvl="6" w:tplc="E5FEFA9A" w:tentative="1">
      <w:start w:val="1"/>
      <w:numFmt w:val="bullet"/>
      <w:lvlText w:val="•"/>
      <w:lvlJc w:val="left"/>
      <w:pPr>
        <w:tabs>
          <w:tab w:val="num" w:pos="5040"/>
        </w:tabs>
        <w:ind w:left="5040" w:hanging="360"/>
      </w:pPr>
      <w:rPr>
        <w:rFonts w:ascii="Times New Roman" w:hAnsi="Times New Roman" w:hint="default"/>
      </w:rPr>
    </w:lvl>
    <w:lvl w:ilvl="7" w:tplc="6840E098" w:tentative="1">
      <w:start w:val="1"/>
      <w:numFmt w:val="bullet"/>
      <w:lvlText w:val="•"/>
      <w:lvlJc w:val="left"/>
      <w:pPr>
        <w:tabs>
          <w:tab w:val="num" w:pos="5760"/>
        </w:tabs>
        <w:ind w:left="5760" w:hanging="360"/>
      </w:pPr>
      <w:rPr>
        <w:rFonts w:ascii="Times New Roman" w:hAnsi="Times New Roman" w:hint="default"/>
      </w:rPr>
    </w:lvl>
    <w:lvl w:ilvl="8" w:tplc="AECE82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C50DD9"/>
    <w:multiLevelType w:val="hybridMultilevel"/>
    <w:tmpl w:val="72E63CC2"/>
    <w:lvl w:ilvl="0" w:tplc="312608C8">
      <w:start w:val="1"/>
      <w:numFmt w:val="bullet"/>
      <w:lvlText w:val="•"/>
      <w:lvlJc w:val="left"/>
      <w:pPr>
        <w:tabs>
          <w:tab w:val="num" w:pos="720"/>
        </w:tabs>
        <w:ind w:left="720" w:hanging="360"/>
      </w:pPr>
      <w:rPr>
        <w:rFonts w:ascii="Times New Roman" w:hAnsi="Times New Roman" w:hint="default"/>
      </w:rPr>
    </w:lvl>
    <w:lvl w:ilvl="1" w:tplc="512685E4" w:tentative="1">
      <w:start w:val="1"/>
      <w:numFmt w:val="bullet"/>
      <w:lvlText w:val="•"/>
      <w:lvlJc w:val="left"/>
      <w:pPr>
        <w:tabs>
          <w:tab w:val="num" w:pos="1440"/>
        </w:tabs>
        <w:ind w:left="1440" w:hanging="360"/>
      </w:pPr>
      <w:rPr>
        <w:rFonts w:ascii="Times New Roman" w:hAnsi="Times New Roman" w:hint="default"/>
      </w:rPr>
    </w:lvl>
    <w:lvl w:ilvl="2" w:tplc="0BD444E8" w:tentative="1">
      <w:start w:val="1"/>
      <w:numFmt w:val="bullet"/>
      <w:lvlText w:val="•"/>
      <w:lvlJc w:val="left"/>
      <w:pPr>
        <w:tabs>
          <w:tab w:val="num" w:pos="2160"/>
        </w:tabs>
        <w:ind w:left="2160" w:hanging="360"/>
      </w:pPr>
      <w:rPr>
        <w:rFonts w:ascii="Times New Roman" w:hAnsi="Times New Roman" w:hint="default"/>
      </w:rPr>
    </w:lvl>
    <w:lvl w:ilvl="3" w:tplc="CD3E4D46" w:tentative="1">
      <w:start w:val="1"/>
      <w:numFmt w:val="bullet"/>
      <w:lvlText w:val="•"/>
      <w:lvlJc w:val="left"/>
      <w:pPr>
        <w:tabs>
          <w:tab w:val="num" w:pos="2880"/>
        </w:tabs>
        <w:ind w:left="2880" w:hanging="360"/>
      </w:pPr>
      <w:rPr>
        <w:rFonts w:ascii="Times New Roman" w:hAnsi="Times New Roman" w:hint="default"/>
      </w:rPr>
    </w:lvl>
    <w:lvl w:ilvl="4" w:tplc="103A04E8" w:tentative="1">
      <w:start w:val="1"/>
      <w:numFmt w:val="bullet"/>
      <w:lvlText w:val="•"/>
      <w:lvlJc w:val="left"/>
      <w:pPr>
        <w:tabs>
          <w:tab w:val="num" w:pos="3600"/>
        </w:tabs>
        <w:ind w:left="3600" w:hanging="360"/>
      </w:pPr>
      <w:rPr>
        <w:rFonts w:ascii="Times New Roman" w:hAnsi="Times New Roman" w:hint="default"/>
      </w:rPr>
    </w:lvl>
    <w:lvl w:ilvl="5" w:tplc="8FFADF7E" w:tentative="1">
      <w:start w:val="1"/>
      <w:numFmt w:val="bullet"/>
      <w:lvlText w:val="•"/>
      <w:lvlJc w:val="left"/>
      <w:pPr>
        <w:tabs>
          <w:tab w:val="num" w:pos="4320"/>
        </w:tabs>
        <w:ind w:left="4320" w:hanging="360"/>
      </w:pPr>
      <w:rPr>
        <w:rFonts w:ascii="Times New Roman" w:hAnsi="Times New Roman" w:hint="default"/>
      </w:rPr>
    </w:lvl>
    <w:lvl w:ilvl="6" w:tplc="735279D8" w:tentative="1">
      <w:start w:val="1"/>
      <w:numFmt w:val="bullet"/>
      <w:lvlText w:val="•"/>
      <w:lvlJc w:val="left"/>
      <w:pPr>
        <w:tabs>
          <w:tab w:val="num" w:pos="5040"/>
        </w:tabs>
        <w:ind w:left="5040" w:hanging="360"/>
      </w:pPr>
      <w:rPr>
        <w:rFonts w:ascii="Times New Roman" w:hAnsi="Times New Roman" w:hint="default"/>
      </w:rPr>
    </w:lvl>
    <w:lvl w:ilvl="7" w:tplc="B788901E" w:tentative="1">
      <w:start w:val="1"/>
      <w:numFmt w:val="bullet"/>
      <w:lvlText w:val="•"/>
      <w:lvlJc w:val="left"/>
      <w:pPr>
        <w:tabs>
          <w:tab w:val="num" w:pos="5760"/>
        </w:tabs>
        <w:ind w:left="5760" w:hanging="360"/>
      </w:pPr>
      <w:rPr>
        <w:rFonts w:ascii="Times New Roman" w:hAnsi="Times New Roman" w:hint="default"/>
      </w:rPr>
    </w:lvl>
    <w:lvl w:ilvl="8" w:tplc="6EFEA9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AEA5022"/>
    <w:multiLevelType w:val="hybridMultilevel"/>
    <w:tmpl w:val="DF22D928"/>
    <w:lvl w:ilvl="0" w:tplc="530EA03C">
      <w:start w:val="1"/>
      <w:numFmt w:val="bullet"/>
      <w:lvlText w:val="•"/>
      <w:lvlJc w:val="left"/>
      <w:pPr>
        <w:tabs>
          <w:tab w:val="num" w:pos="720"/>
        </w:tabs>
        <w:ind w:left="720" w:hanging="360"/>
      </w:pPr>
      <w:rPr>
        <w:rFonts w:ascii="Times New Roman" w:hAnsi="Times New Roman" w:hint="default"/>
      </w:rPr>
    </w:lvl>
    <w:lvl w:ilvl="1" w:tplc="8E7253BE" w:tentative="1">
      <w:start w:val="1"/>
      <w:numFmt w:val="bullet"/>
      <w:lvlText w:val="•"/>
      <w:lvlJc w:val="left"/>
      <w:pPr>
        <w:tabs>
          <w:tab w:val="num" w:pos="1440"/>
        </w:tabs>
        <w:ind w:left="1440" w:hanging="360"/>
      </w:pPr>
      <w:rPr>
        <w:rFonts w:ascii="Times New Roman" w:hAnsi="Times New Roman" w:hint="default"/>
      </w:rPr>
    </w:lvl>
    <w:lvl w:ilvl="2" w:tplc="010A1BF0" w:tentative="1">
      <w:start w:val="1"/>
      <w:numFmt w:val="bullet"/>
      <w:lvlText w:val="•"/>
      <w:lvlJc w:val="left"/>
      <w:pPr>
        <w:tabs>
          <w:tab w:val="num" w:pos="2160"/>
        </w:tabs>
        <w:ind w:left="2160" w:hanging="360"/>
      </w:pPr>
      <w:rPr>
        <w:rFonts w:ascii="Times New Roman" w:hAnsi="Times New Roman" w:hint="default"/>
      </w:rPr>
    </w:lvl>
    <w:lvl w:ilvl="3" w:tplc="1A18780A" w:tentative="1">
      <w:start w:val="1"/>
      <w:numFmt w:val="bullet"/>
      <w:lvlText w:val="•"/>
      <w:lvlJc w:val="left"/>
      <w:pPr>
        <w:tabs>
          <w:tab w:val="num" w:pos="2880"/>
        </w:tabs>
        <w:ind w:left="2880" w:hanging="360"/>
      </w:pPr>
      <w:rPr>
        <w:rFonts w:ascii="Times New Roman" w:hAnsi="Times New Roman" w:hint="default"/>
      </w:rPr>
    </w:lvl>
    <w:lvl w:ilvl="4" w:tplc="B6B6E550" w:tentative="1">
      <w:start w:val="1"/>
      <w:numFmt w:val="bullet"/>
      <w:lvlText w:val="•"/>
      <w:lvlJc w:val="left"/>
      <w:pPr>
        <w:tabs>
          <w:tab w:val="num" w:pos="3600"/>
        </w:tabs>
        <w:ind w:left="3600" w:hanging="360"/>
      </w:pPr>
      <w:rPr>
        <w:rFonts w:ascii="Times New Roman" w:hAnsi="Times New Roman" w:hint="default"/>
      </w:rPr>
    </w:lvl>
    <w:lvl w:ilvl="5" w:tplc="BD4A5344" w:tentative="1">
      <w:start w:val="1"/>
      <w:numFmt w:val="bullet"/>
      <w:lvlText w:val="•"/>
      <w:lvlJc w:val="left"/>
      <w:pPr>
        <w:tabs>
          <w:tab w:val="num" w:pos="4320"/>
        </w:tabs>
        <w:ind w:left="4320" w:hanging="360"/>
      </w:pPr>
      <w:rPr>
        <w:rFonts w:ascii="Times New Roman" w:hAnsi="Times New Roman" w:hint="default"/>
      </w:rPr>
    </w:lvl>
    <w:lvl w:ilvl="6" w:tplc="A96E6C02" w:tentative="1">
      <w:start w:val="1"/>
      <w:numFmt w:val="bullet"/>
      <w:lvlText w:val="•"/>
      <w:lvlJc w:val="left"/>
      <w:pPr>
        <w:tabs>
          <w:tab w:val="num" w:pos="5040"/>
        </w:tabs>
        <w:ind w:left="5040" w:hanging="360"/>
      </w:pPr>
      <w:rPr>
        <w:rFonts w:ascii="Times New Roman" w:hAnsi="Times New Roman" w:hint="default"/>
      </w:rPr>
    </w:lvl>
    <w:lvl w:ilvl="7" w:tplc="F5186132" w:tentative="1">
      <w:start w:val="1"/>
      <w:numFmt w:val="bullet"/>
      <w:lvlText w:val="•"/>
      <w:lvlJc w:val="left"/>
      <w:pPr>
        <w:tabs>
          <w:tab w:val="num" w:pos="5760"/>
        </w:tabs>
        <w:ind w:left="5760" w:hanging="360"/>
      </w:pPr>
      <w:rPr>
        <w:rFonts w:ascii="Times New Roman" w:hAnsi="Times New Roman" w:hint="default"/>
      </w:rPr>
    </w:lvl>
    <w:lvl w:ilvl="8" w:tplc="141A869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12"/>
    <w:rsid w:val="00004ED8"/>
    <w:rsid w:val="00057013"/>
    <w:rsid w:val="00084279"/>
    <w:rsid w:val="000A6DF3"/>
    <w:rsid w:val="000E7E3E"/>
    <w:rsid w:val="00106565"/>
    <w:rsid w:val="00145413"/>
    <w:rsid w:val="001C686D"/>
    <w:rsid w:val="001D1C98"/>
    <w:rsid w:val="00220DEA"/>
    <w:rsid w:val="00292DD3"/>
    <w:rsid w:val="002A07B2"/>
    <w:rsid w:val="002D2E1C"/>
    <w:rsid w:val="003123CB"/>
    <w:rsid w:val="00326506"/>
    <w:rsid w:val="003D2ECF"/>
    <w:rsid w:val="004113A6"/>
    <w:rsid w:val="0042348D"/>
    <w:rsid w:val="0047684B"/>
    <w:rsid w:val="00497D12"/>
    <w:rsid w:val="004D0D87"/>
    <w:rsid w:val="004D1ECB"/>
    <w:rsid w:val="004E1B44"/>
    <w:rsid w:val="005049A7"/>
    <w:rsid w:val="0051728D"/>
    <w:rsid w:val="005318CD"/>
    <w:rsid w:val="0059426A"/>
    <w:rsid w:val="006707BB"/>
    <w:rsid w:val="006C7865"/>
    <w:rsid w:val="006D00F7"/>
    <w:rsid w:val="006D606E"/>
    <w:rsid w:val="007162AC"/>
    <w:rsid w:val="00762AD3"/>
    <w:rsid w:val="00821AEB"/>
    <w:rsid w:val="0086524E"/>
    <w:rsid w:val="008970D8"/>
    <w:rsid w:val="009254B7"/>
    <w:rsid w:val="00971532"/>
    <w:rsid w:val="00A3367C"/>
    <w:rsid w:val="00A65AC1"/>
    <w:rsid w:val="00B278EB"/>
    <w:rsid w:val="00BF0B5F"/>
    <w:rsid w:val="00C230D1"/>
    <w:rsid w:val="00C66BE3"/>
    <w:rsid w:val="00D3464C"/>
    <w:rsid w:val="00D60613"/>
    <w:rsid w:val="00D76956"/>
    <w:rsid w:val="00DA3821"/>
    <w:rsid w:val="00E36928"/>
    <w:rsid w:val="00EC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5F8"/>
  <w15:docId w15:val="{6C8B82B0-68EB-49CC-A047-E4DD8348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28"/>
    <w:rPr>
      <w:color w:val="0000FF" w:themeColor="hyperlink"/>
      <w:u w:val="single"/>
    </w:rPr>
  </w:style>
  <w:style w:type="character" w:styleId="Emphasis">
    <w:name w:val="Emphasis"/>
    <w:basedOn w:val="DefaultParagraphFont"/>
    <w:uiPriority w:val="20"/>
    <w:qFormat/>
    <w:rsid w:val="00E36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2850">
      <w:bodyDiv w:val="1"/>
      <w:marLeft w:val="0"/>
      <w:marRight w:val="0"/>
      <w:marTop w:val="0"/>
      <w:marBottom w:val="0"/>
      <w:divBdr>
        <w:top w:val="none" w:sz="0" w:space="0" w:color="auto"/>
        <w:left w:val="none" w:sz="0" w:space="0" w:color="auto"/>
        <w:bottom w:val="none" w:sz="0" w:space="0" w:color="auto"/>
        <w:right w:val="none" w:sz="0" w:space="0" w:color="auto"/>
      </w:divBdr>
      <w:divsChild>
        <w:div w:id="1423069811">
          <w:marLeft w:val="547"/>
          <w:marRight w:val="0"/>
          <w:marTop w:val="134"/>
          <w:marBottom w:val="120"/>
          <w:divBdr>
            <w:top w:val="none" w:sz="0" w:space="0" w:color="auto"/>
            <w:left w:val="none" w:sz="0" w:space="0" w:color="auto"/>
            <w:bottom w:val="none" w:sz="0" w:space="0" w:color="auto"/>
            <w:right w:val="none" w:sz="0" w:space="0" w:color="auto"/>
          </w:divBdr>
        </w:div>
        <w:div w:id="537939058">
          <w:marLeft w:val="547"/>
          <w:marRight w:val="0"/>
          <w:marTop w:val="134"/>
          <w:marBottom w:val="120"/>
          <w:divBdr>
            <w:top w:val="none" w:sz="0" w:space="0" w:color="auto"/>
            <w:left w:val="none" w:sz="0" w:space="0" w:color="auto"/>
            <w:bottom w:val="none" w:sz="0" w:space="0" w:color="auto"/>
            <w:right w:val="none" w:sz="0" w:space="0" w:color="auto"/>
          </w:divBdr>
        </w:div>
        <w:div w:id="1168401820">
          <w:marLeft w:val="547"/>
          <w:marRight w:val="0"/>
          <w:marTop w:val="134"/>
          <w:marBottom w:val="120"/>
          <w:divBdr>
            <w:top w:val="none" w:sz="0" w:space="0" w:color="auto"/>
            <w:left w:val="none" w:sz="0" w:space="0" w:color="auto"/>
            <w:bottom w:val="none" w:sz="0" w:space="0" w:color="auto"/>
            <w:right w:val="none" w:sz="0" w:space="0" w:color="auto"/>
          </w:divBdr>
        </w:div>
      </w:divsChild>
    </w:div>
    <w:div w:id="867529008">
      <w:bodyDiv w:val="1"/>
      <w:marLeft w:val="0"/>
      <w:marRight w:val="0"/>
      <w:marTop w:val="0"/>
      <w:marBottom w:val="0"/>
      <w:divBdr>
        <w:top w:val="none" w:sz="0" w:space="0" w:color="auto"/>
        <w:left w:val="none" w:sz="0" w:space="0" w:color="auto"/>
        <w:bottom w:val="none" w:sz="0" w:space="0" w:color="auto"/>
        <w:right w:val="none" w:sz="0" w:space="0" w:color="auto"/>
      </w:divBdr>
      <w:divsChild>
        <w:div w:id="2135520319">
          <w:marLeft w:val="547"/>
          <w:marRight w:val="0"/>
          <w:marTop w:val="154"/>
          <w:marBottom w:val="120"/>
          <w:divBdr>
            <w:top w:val="none" w:sz="0" w:space="0" w:color="auto"/>
            <w:left w:val="none" w:sz="0" w:space="0" w:color="auto"/>
            <w:bottom w:val="none" w:sz="0" w:space="0" w:color="auto"/>
            <w:right w:val="none" w:sz="0" w:space="0" w:color="auto"/>
          </w:divBdr>
        </w:div>
        <w:div w:id="874316201">
          <w:marLeft w:val="547"/>
          <w:marRight w:val="0"/>
          <w:marTop w:val="154"/>
          <w:marBottom w:val="120"/>
          <w:divBdr>
            <w:top w:val="none" w:sz="0" w:space="0" w:color="auto"/>
            <w:left w:val="none" w:sz="0" w:space="0" w:color="auto"/>
            <w:bottom w:val="none" w:sz="0" w:space="0" w:color="auto"/>
            <w:right w:val="none" w:sz="0" w:space="0" w:color="auto"/>
          </w:divBdr>
        </w:div>
      </w:divsChild>
    </w:div>
    <w:div w:id="1491940134">
      <w:bodyDiv w:val="1"/>
      <w:marLeft w:val="0"/>
      <w:marRight w:val="0"/>
      <w:marTop w:val="0"/>
      <w:marBottom w:val="0"/>
      <w:divBdr>
        <w:top w:val="none" w:sz="0" w:space="0" w:color="auto"/>
        <w:left w:val="none" w:sz="0" w:space="0" w:color="auto"/>
        <w:bottom w:val="none" w:sz="0" w:space="0" w:color="auto"/>
        <w:right w:val="none" w:sz="0" w:space="0" w:color="auto"/>
      </w:divBdr>
      <w:divsChild>
        <w:div w:id="1667783617">
          <w:marLeft w:val="547"/>
          <w:marRight w:val="0"/>
          <w:marTop w:val="125"/>
          <w:marBottom w:val="120"/>
          <w:divBdr>
            <w:top w:val="none" w:sz="0" w:space="0" w:color="auto"/>
            <w:left w:val="none" w:sz="0" w:space="0" w:color="auto"/>
            <w:bottom w:val="none" w:sz="0" w:space="0" w:color="auto"/>
            <w:right w:val="none" w:sz="0" w:space="0" w:color="auto"/>
          </w:divBdr>
        </w:div>
        <w:div w:id="477302116">
          <w:marLeft w:val="547"/>
          <w:marRight w:val="0"/>
          <w:marTop w:val="125"/>
          <w:marBottom w:val="120"/>
          <w:divBdr>
            <w:top w:val="none" w:sz="0" w:space="0" w:color="auto"/>
            <w:left w:val="none" w:sz="0" w:space="0" w:color="auto"/>
            <w:bottom w:val="none" w:sz="0" w:space="0" w:color="auto"/>
            <w:right w:val="none" w:sz="0" w:space="0" w:color="auto"/>
          </w:divBdr>
        </w:div>
        <w:div w:id="1355691297">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nts.nih.gov/grants/policy/person_months_conversion_chart.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policy/person_months_faqs.htm" TargetMode="External"/><Relationship Id="rId5" Type="http://schemas.openxmlformats.org/officeDocument/2006/relationships/hyperlink" Target="http://www.pitt.edu/~offres/proposal/PersonMonth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dc:creator>
  <cp:lastModifiedBy>Lawson, Alice</cp:lastModifiedBy>
  <cp:revision>3</cp:revision>
  <cp:lastPrinted>2013-10-22T19:33:00Z</cp:lastPrinted>
  <dcterms:created xsi:type="dcterms:W3CDTF">2019-09-17T12:30:00Z</dcterms:created>
  <dcterms:modified xsi:type="dcterms:W3CDTF">2019-09-17T12:59:00Z</dcterms:modified>
</cp:coreProperties>
</file>